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A9" w:rsidRDefault="00960D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"/>
        <w:tblW w:w="14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6881"/>
      </w:tblGrid>
      <w:tr w:rsidR="00960DA9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  <w:b/>
                <w:i/>
                <w:sz w:val="32"/>
                <w:szCs w:val="32"/>
              </w:rPr>
            </w:pPr>
            <w:r>
              <w:rPr>
                <w:rFonts w:cs="Calibri"/>
                <w:b/>
                <w:i/>
                <w:sz w:val="32"/>
                <w:szCs w:val="32"/>
              </w:rPr>
              <w:t xml:space="preserve">Offerta Tecnica in dettaglio                                        </w:t>
            </w:r>
          </w:p>
          <w:p w:rsidR="00960DA9" w:rsidRDefault="003278FA">
            <w:pPr>
              <w:ind w:left="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Avviso pubblico </w:t>
            </w:r>
            <w:proofErr w:type="spellStart"/>
            <w:r>
              <w:rPr>
                <w:rFonts w:cs="Calibri"/>
                <w:b/>
              </w:rPr>
              <w:t>prot</w:t>
            </w:r>
            <w:proofErr w:type="spellEnd"/>
            <w:r>
              <w:rPr>
                <w:rFonts w:cs="Calibri"/>
                <w:b/>
              </w:rPr>
              <w:t xml:space="preserve">. n. AOODGEFID/28966 del 06/09/2021 “Digital </w:t>
            </w:r>
            <w:proofErr w:type="spellStart"/>
            <w:r>
              <w:rPr>
                <w:rFonts w:cs="Calibri"/>
                <w:b/>
              </w:rPr>
              <w:t>board</w:t>
            </w:r>
            <w:proofErr w:type="spellEnd"/>
            <w:r>
              <w:rPr>
                <w:rFonts w:cs="Calibri"/>
                <w:b/>
              </w:rPr>
              <w:t>: trasformazione digitale nella didattica e nell’organizzazione”. Fondi Strutturali Europei – Programma Operativo Nazionale “Per la scuola, competenze e ambienti per l’apprendimento” 201</w:t>
            </w:r>
            <w:r>
              <w:rPr>
                <w:rFonts w:cs="Calibri"/>
                <w:b/>
              </w:rPr>
              <w:t>4-2020 - Fondo europeo di sviluppo regionale (FESR) – REACT EU.</w:t>
            </w:r>
          </w:p>
          <w:p w:rsidR="00960DA9" w:rsidRDefault="00960DA9">
            <w:pPr>
              <w:ind w:left="57"/>
              <w:jc w:val="both"/>
              <w:rPr>
                <w:rFonts w:cs="Calibri"/>
                <w:i/>
              </w:rPr>
            </w:pPr>
          </w:p>
        </w:tc>
        <w:tc>
          <w:tcPr>
            <w:tcW w:w="68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DA9" w:rsidRDefault="003278FA">
            <w:pPr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4238625" cy="816292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8162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A9" w:rsidRDefault="00960DA9" w:rsidP="0078715C">
      <w:pPr>
        <w:spacing w:before="120" w:after="0"/>
        <w:rPr>
          <w:rFonts w:cs="Calibri"/>
          <w:b/>
          <w:i/>
          <w:sz w:val="24"/>
          <w:szCs w:val="24"/>
        </w:rPr>
      </w:pPr>
    </w:p>
    <w:p w:rsidR="00960DA9" w:rsidRDefault="003278FA" w:rsidP="0078715C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Azienda: __________________________</w:t>
      </w:r>
    </w:p>
    <w:p w:rsidR="00960DA9" w:rsidRDefault="003278FA" w:rsidP="0078715C">
      <w:pPr>
        <w:spacing w:after="0"/>
        <w:rPr>
          <w:b/>
          <w:i/>
        </w:rPr>
      </w:pPr>
      <w:r>
        <w:t xml:space="preserve">Oggetto: </w:t>
      </w:r>
      <w:r>
        <w:rPr>
          <w:b/>
        </w:rPr>
        <w:t xml:space="preserve">Dettaglio economico relativo all’offerta riguardante il progetto Digital </w:t>
      </w:r>
      <w:proofErr w:type="spellStart"/>
      <w:r>
        <w:rPr>
          <w:b/>
        </w:rPr>
        <w:t>board</w:t>
      </w:r>
      <w:proofErr w:type="spellEnd"/>
      <w:r>
        <w:rPr>
          <w:b/>
        </w:rPr>
        <w:t>: trasformazione digitale nella didattica e nell’organizzazione</w:t>
      </w:r>
    </w:p>
    <w:p w:rsidR="00960DA9" w:rsidRDefault="003278FA" w:rsidP="0078715C">
      <w:pPr>
        <w:spacing w:after="0"/>
        <w:rPr>
          <w:sz w:val="24"/>
          <w:szCs w:val="24"/>
        </w:rPr>
      </w:pPr>
      <w:r w:rsidRPr="0078715C">
        <w:rPr>
          <w:rFonts w:ascii="Arial" w:eastAsia="Arial" w:hAnsi="Arial" w:cs="Arial"/>
          <w:b/>
        </w:rPr>
        <w:t>Stazione appaltante</w:t>
      </w:r>
      <w:r w:rsidR="0078715C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Istituto Comprensivo Monserrato 1-2 “A. La Marmora”</w:t>
      </w:r>
    </w:p>
    <w:p w:rsidR="00960DA9" w:rsidRDefault="003278FA" w:rsidP="0078715C">
      <w:pPr>
        <w:widowControl w:val="0"/>
        <w:spacing w:after="0" w:line="240" w:lineRule="auto"/>
        <w:jc w:val="both"/>
        <w:rPr>
          <w:sz w:val="24"/>
          <w:szCs w:val="24"/>
        </w:rPr>
      </w:pPr>
      <w:bookmarkStart w:id="0" w:name="_heading=h.rxg6lcseqpd8" w:colFirst="0" w:colLast="0"/>
      <w:bookmarkEnd w:id="0"/>
      <w:r>
        <w:rPr>
          <w:b/>
          <w:sz w:val="24"/>
          <w:szCs w:val="24"/>
        </w:rPr>
        <w:t xml:space="preserve"> Codice Progetto: </w:t>
      </w:r>
      <w:r>
        <w:rPr>
          <w:sz w:val="24"/>
          <w:szCs w:val="24"/>
        </w:rPr>
        <w:t>13.1.2A-FESRPON-SA-2021-26</w:t>
      </w:r>
    </w:p>
    <w:p w:rsidR="00960DA9" w:rsidRDefault="003278FA" w:rsidP="0078715C">
      <w:pPr>
        <w:widowControl w:val="0"/>
        <w:spacing w:after="0" w:line="240" w:lineRule="auto"/>
        <w:jc w:val="both"/>
        <w:rPr>
          <w:sz w:val="24"/>
          <w:szCs w:val="24"/>
        </w:rPr>
      </w:pPr>
      <w:bookmarkStart w:id="1" w:name="_heading=h.gtpey6mjksyw" w:colFirst="0" w:colLast="0"/>
      <w:bookmarkEnd w:id="1"/>
      <w:r>
        <w:rPr>
          <w:b/>
          <w:sz w:val="24"/>
          <w:szCs w:val="24"/>
        </w:rPr>
        <w:t xml:space="preserve"> CUP: </w:t>
      </w:r>
      <w:r>
        <w:rPr>
          <w:sz w:val="24"/>
          <w:szCs w:val="24"/>
        </w:rPr>
        <w:t>H39J21008130006</w:t>
      </w:r>
      <w:r w:rsidR="0078715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CIG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>8835A33E5</w:t>
      </w:r>
    </w:p>
    <w:p w:rsidR="00960DA9" w:rsidRDefault="00960DA9">
      <w:pPr>
        <w:spacing w:after="0" w:line="240" w:lineRule="auto"/>
        <w:rPr>
          <w:b/>
          <w:sz w:val="20"/>
          <w:szCs w:val="20"/>
        </w:rPr>
      </w:pPr>
    </w:p>
    <w:tbl>
      <w:tblPr>
        <w:tblStyle w:val="af0"/>
        <w:tblW w:w="14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10650"/>
        <w:gridCol w:w="2805"/>
      </w:tblGrid>
      <w:tr w:rsidR="00960DA9">
        <w:trPr>
          <w:trHeight w:val="1864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>Q.TA</w:t>
            </w:r>
            <w:proofErr w:type="gramEnd"/>
            <w:r>
              <w:rPr>
                <w:rFonts w:cs="Calibri"/>
              </w:rPr>
              <w:t xml:space="preserve"> </w:t>
            </w:r>
          </w:p>
          <w:p w:rsidR="0078715C" w:rsidRPr="0078715C" w:rsidRDefault="0078715C">
            <w:pPr>
              <w:rPr>
                <w:rFonts w:cs="Calibri"/>
                <w:sz w:val="16"/>
              </w:rPr>
            </w:pPr>
          </w:p>
          <w:p w:rsidR="00960DA9" w:rsidRPr="0078715C" w:rsidRDefault="003278FA" w:rsidP="0078715C">
            <w:pPr>
              <w:jc w:val="right"/>
              <w:rPr>
                <w:rFonts w:cs="Calibri"/>
                <w:b/>
                <w:sz w:val="22"/>
              </w:rPr>
            </w:pPr>
            <w:r w:rsidRPr="0078715C">
              <w:rPr>
                <w:rFonts w:cs="Calibri"/>
                <w:b/>
                <w:sz w:val="22"/>
              </w:rPr>
              <w:t>19</w:t>
            </w:r>
          </w:p>
          <w:p w:rsidR="00960DA9" w:rsidRPr="0078715C" w:rsidRDefault="00960DA9" w:rsidP="0078715C">
            <w:pPr>
              <w:jc w:val="right"/>
              <w:rPr>
                <w:rFonts w:cs="Calibri"/>
                <w:b/>
                <w:sz w:val="22"/>
              </w:rPr>
            </w:pPr>
          </w:p>
          <w:p w:rsidR="00960DA9" w:rsidRPr="0078715C" w:rsidRDefault="00960DA9" w:rsidP="0078715C">
            <w:pPr>
              <w:jc w:val="right"/>
              <w:rPr>
                <w:rFonts w:cs="Calibri"/>
                <w:b/>
                <w:sz w:val="22"/>
              </w:rPr>
            </w:pPr>
          </w:p>
          <w:p w:rsidR="00960DA9" w:rsidRPr="0078715C" w:rsidRDefault="00960DA9" w:rsidP="0078715C">
            <w:pPr>
              <w:jc w:val="right"/>
              <w:rPr>
                <w:rFonts w:cs="Calibri"/>
                <w:b/>
                <w:sz w:val="22"/>
              </w:rPr>
            </w:pPr>
          </w:p>
          <w:p w:rsidR="00960DA9" w:rsidRPr="0078715C" w:rsidRDefault="00960DA9" w:rsidP="0078715C">
            <w:pPr>
              <w:jc w:val="right"/>
              <w:rPr>
                <w:rFonts w:cs="Calibri"/>
                <w:b/>
                <w:sz w:val="22"/>
              </w:rPr>
            </w:pPr>
          </w:p>
          <w:p w:rsidR="00960DA9" w:rsidRPr="0078715C" w:rsidRDefault="00960DA9" w:rsidP="0078715C">
            <w:pPr>
              <w:jc w:val="right"/>
              <w:rPr>
                <w:rFonts w:cs="Calibri"/>
                <w:b/>
                <w:sz w:val="22"/>
              </w:rPr>
            </w:pPr>
          </w:p>
          <w:p w:rsidR="00960DA9" w:rsidRPr="0078715C" w:rsidRDefault="00960DA9" w:rsidP="0078715C">
            <w:pPr>
              <w:jc w:val="right"/>
              <w:rPr>
                <w:rFonts w:cs="Calibri"/>
                <w:b/>
                <w:sz w:val="22"/>
              </w:rPr>
            </w:pPr>
          </w:p>
          <w:p w:rsidR="00960DA9" w:rsidRPr="0078715C" w:rsidRDefault="00960DA9" w:rsidP="0078715C">
            <w:pPr>
              <w:jc w:val="right"/>
              <w:rPr>
                <w:rFonts w:cs="Calibri"/>
                <w:b/>
                <w:sz w:val="22"/>
              </w:rPr>
            </w:pPr>
          </w:p>
          <w:p w:rsidR="00960DA9" w:rsidRPr="0078715C" w:rsidRDefault="003278FA" w:rsidP="0078715C">
            <w:pPr>
              <w:jc w:val="right"/>
              <w:rPr>
                <w:rFonts w:cs="Calibri"/>
                <w:b/>
                <w:sz w:val="22"/>
              </w:rPr>
            </w:pPr>
            <w:r w:rsidRPr="0078715C">
              <w:rPr>
                <w:rFonts w:cs="Calibri"/>
                <w:b/>
                <w:sz w:val="22"/>
              </w:rPr>
              <w:t>2</w:t>
            </w:r>
          </w:p>
          <w:p w:rsidR="00960DA9" w:rsidRPr="0078715C" w:rsidRDefault="00960DA9">
            <w:pPr>
              <w:rPr>
                <w:rFonts w:cs="Calibri"/>
                <w:b/>
                <w:sz w:val="22"/>
              </w:rPr>
            </w:pPr>
          </w:p>
          <w:p w:rsidR="00960DA9" w:rsidRDefault="00960DA9">
            <w:pPr>
              <w:rPr>
                <w:rFonts w:cs="Calibri"/>
              </w:rPr>
            </w:pPr>
          </w:p>
          <w:p w:rsidR="00960DA9" w:rsidRDefault="00960DA9">
            <w:pPr>
              <w:rPr>
                <w:rFonts w:cs="Calibri"/>
              </w:rPr>
            </w:pPr>
          </w:p>
          <w:p w:rsidR="00960DA9" w:rsidRDefault="00960DA9">
            <w:pPr>
              <w:rPr>
                <w:rFonts w:cs="Calibri"/>
              </w:rPr>
            </w:pPr>
          </w:p>
          <w:p w:rsidR="00960DA9" w:rsidRDefault="00960DA9">
            <w:pPr>
              <w:rPr>
                <w:rFonts w:cs="Calibri"/>
              </w:rPr>
            </w:pPr>
          </w:p>
          <w:p w:rsidR="00960DA9" w:rsidRDefault="00960DA9">
            <w:pPr>
              <w:rPr>
                <w:rFonts w:cs="Calibri"/>
              </w:rPr>
            </w:pPr>
          </w:p>
          <w:p w:rsidR="00960DA9" w:rsidRDefault="00960DA9">
            <w:pPr>
              <w:rPr>
                <w:rFonts w:cs="Calibri"/>
              </w:rPr>
            </w:pPr>
          </w:p>
          <w:p w:rsidR="00960DA9" w:rsidRDefault="00960DA9">
            <w:pPr>
              <w:rPr>
                <w:rFonts w:cs="Calibri"/>
              </w:rPr>
            </w:pPr>
          </w:p>
          <w:p w:rsidR="00960DA9" w:rsidRDefault="00960DA9" w:rsidP="0078715C">
            <w:pPr>
              <w:rPr>
                <w:rFonts w:cs="Calibri"/>
              </w:rPr>
            </w:pP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DESCRIZIONE</w:t>
            </w:r>
          </w:p>
          <w:p w:rsidR="00960DA9" w:rsidRDefault="00960DA9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MONITOR 65”</w:t>
            </w:r>
          </w:p>
          <w:p w:rsidR="00960DA9" w:rsidRDefault="00960DA9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Risoluzione Fino a 3840 x 2160P @25 </w:t>
            </w:r>
            <w:proofErr w:type="spellStart"/>
            <w:r>
              <w:rPr>
                <w:rFonts w:cs="Calibri"/>
                <w:sz w:val="18"/>
                <w:szCs w:val="18"/>
              </w:rPr>
              <w:t>fps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Image editing output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Area attiva 65” 1428 x 803 mm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Luminosità 500 cd/m2 (</w:t>
            </w:r>
            <w:proofErr w:type="spellStart"/>
            <w:r>
              <w:rPr>
                <w:rFonts w:cs="Calibri"/>
                <w:sz w:val="18"/>
                <w:szCs w:val="18"/>
              </w:rPr>
              <w:t>typ</w:t>
            </w:r>
            <w:proofErr w:type="spellEnd"/>
            <w:r>
              <w:rPr>
                <w:rFonts w:cs="Calibri"/>
                <w:sz w:val="18"/>
                <w:szCs w:val="18"/>
              </w:rPr>
              <w:t>.)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Colori 1.07 Bilioni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Peso netto 55 Kg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Dimensioni netto (L*H*P) 1517 x 938 x 97,4mm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Tocchi supportati Fino a 40 tocchi simultanei</w:t>
            </w:r>
          </w:p>
          <w:p w:rsidR="00960DA9" w:rsidRDefault="00960DA9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MONITOR 75”</w:t>
            </w:r>
          </w:p>
          <w:p w:rsidR="00960DA9" w:rsidRDefault="00960DA9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Risoluzione Fino a 3840 x 2160P @25 </w:t>
            </w:r>
            <w:proofErr w:type="spellStart"/>
            <w:r>
              <w:rPr>
                <w:rFonts w:cs="Calibri"/>
                <w:sz w:val="18"/>
                <w:szCs w:val="18"/>
              </w:rPr>
              <w:t>fps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Image editing output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Area attiva 75” 1649 x 927 mm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Luminosità 500 cd/m2 (</w:t>
            </w:r>
            <w:proofErr w:type="spellStart"/>
            <w:r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z w:val="18"/>
                <w:szCs w:val="18"/>
              </w:rPr>
              <w:t>yp</w:t>
            </w:r>
            <w:proofErr w:type="spellEnd"/>
            <w:r>
              <w:rPr>
                <w:rFonts w:cs="Calibri"/>
                <w:sz w:val="18"/>
                <w:szCs w:val="18"/>
              </w:rPr>
              <w:t>.)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Colori 1.07 Bilioni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Peso netto 73 Kg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Dimensioni netto (L*H*P) 1739 x 1063 x 123.7mm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Tocchi supportati Fino a 40 tocchi simultanei</w:t>
            </w:r>
          </w:p>
          <w:p w:rsidR="00960DA9" w:rsidRDefault="00960DA9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Soluzione Deluxe </w:t>
            </w:r>
            <w:proofErr w:type="spellStart"/>
            <w:r>
              <w:rPr>
                <w:rFonts w:cs="Calibri"/>
                <w:sz w:val="18"/>
                <w:szCs w:val="18"/>
              </w:rPr>
              <w:t>All</w:t>
            </w:r>
            <w:proofErr w:type="spellEnd"/>
            <w:r>
              <w:rPr>
                <w:rFonts w:cs="Calibri"/>
                <w:sz w:val="18"/>
                <w:szCs w:val="18"/>
              </w:rPr>
              <w:t>-in-</w:t>
            </w:r>
            <w:proofErr w:type="spellStart"/>
            <w:r>
              <w:rPr>
                <w:rFonts w:cs="Calibri"/>
                <w:sz w:val="18"/>
                <w:szCs w:val="18"/>
              </w:rPr>
              <w:t>One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Touch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con schermo interattivo 65” e suite software completa di piattaforma didattica per cre</w:t>
            </w:r>
            <w:r>
              <w:rPr>
                <w:rFonts w:cs="Calibri"/>
                <w:sz w:val="18"/>
                <w:szCs w:val="18"/>
              </w:rPr>
              <w:t xml:space="preserve">azione contenuti, piattaforma </w:t>
            </w:r>
            <w:proofErr w:type="spellStart"/>
            <w:r>
              <w:rPr>
                <w:rFonts w:cs="Calibri"/>
                <w:sz w:val="18"/>
                <w:szCs w:val="18"/>
              </w:rPr>
              <w:t>cloud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per insegnamento in ambiente ibrido (</w:t>
            </w:r>
            <w:proofErr w:type="spellStart"/>
            <w:r>
              <w:rPr>
                <w:rFonts w:cs="Calibri"/>
                <w:sz w:val="18"/>
                <w:szCs w:val="18"/>
              </w:rPr>
              <w:t>blended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Learning), MDM </w:t>
            </w:r>
            <w:proofErr w:type="spellStart"/>
            <w:r>
              <w:rPr>
                <w:rFonts w:cs="Calibri"/>
                <w:sz w:val="18"/>
                <w:szCs w:val="18"/>
              </w:rPr>
              <w:t>cloud-based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platform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per la gestione da remoto del monitor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 soluzione dovrà integrare le funzionalità di un monitor </w:t>
            </w:r>
            <w:proofErr w:type="spellStart"/>
            <w:r>
              <w:rPr>
                <w:rFonts w:cs="Calibri"/>
                <w:sz w:val="18"/>
                <w:szCs w:val="18"/>
              </w:rPr>
              <w:t>touch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 e di un </w:t>
            </w:r>
            <w:proofErr w:type="spellStart"/>
            <w:r>
              <w:rPr>
                <w:rFonts w:cs="Calibri"/>
                <w:sz w:val="18"/>
                <w:szCs w:val="18"/>
              </w:rPr>
              <w:t>tablet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con sistema operativo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integrato nel monitor con possibilità di gestione della videoconferenza senza sorgenti esterne (no dispositivi esterni, no OPS 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integrati). 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Gli schermi interattivi devono essere compatibili e già </w:t>
            </w:r>
            <w:proofErr w:type="spellStart"/>
            <w:r>
              <w:rPr>
                <w:rFonts w:cs="Calibri"/>
                <w:sz w:val="18"/>
                <w:szCs w:val="18"/>
              </w:rPr>
              <w:t>preconfigurati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per l’utilizzo in modalità videoconferenza, ovvero per la Didattica Digitale Integrata. 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 produttore deve certificare il funzionamento e la compatibilità delle </w:t>
            </w:r>
            <w:proofErr w:type="spellStart"/>
            <w:r>
              <w:rPr>
                <w:rFonts w:cs="Calibri"/>
                <w:sz w:val="18"/>
                <w:szCs w:val="18"/>
              </w:rPr>
              <w:t>app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didattiche direttam</w:t>
            </w:r>
            <w:r>
              <w:rPr>
                <w:rFonts w:cs="Calibri"/>
                <w:sz w:val="18"/>
                <w:szCs w:val="18"/>
              </w:rPr>
              <w:t xml:space="preserve">ente sull’OS 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integrato (senza utilizzo di </w:t>
            </w:r>
            <w:proofErr w:type="spellStart"/>
            <w:r>
              <w:rPr>
                <w:rFonts w:cs="Calibri"/>
                <w:sz w:val="18"/>
                <w:szCs w:val="18"/>
              </w:rPr>
              <w:t>device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esterni).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Sul sistema 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onboard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devono essere presenti di default le piattaforme di videoconferenza più in utilizzo e conosciute (Google </w:t>
            </w:r>
            <w:proofErr w:type="spellStart"/>
            <w:r>
              <w:rPr>
                <w:rFonts w:cs="Calibri"/>
                <w:sz w:val="18"/>
                <w:szCs w:val="18"/>
              </w:rPr>
              <w:t>Meet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Microsoft Teams, Zoom, Cisco </w:t>
            </w:r>
            <w:proofErr w:type="spellStart"/>
            <w:r>
              <w:rPr>
                <w:rFonts w:cs="Calibri"/>
                <w:sz w:val="18"/>
                <w:szCs w:val="18"/>
              </w:rPr>
              <w:t>Webex</w:t>
            </w:r>
            <w:proofErr w:type="spellEnd"/>
            <w:r>
              <w:rPr>
                <w:rFonts w:cs="Calibri"/>
                <w:sz w:val="18"/>
                <w:szCs w:val="18"/>
              </w:rPr>
              <w:t>) oltre alle pia</w:t>
            </w:r>
            <w:r>
              <w:rPr>
                <w:rFonts w:cs="Calibri"/>
                <w:sz w:val="18"/>
                <w:szCs w:val="18"/>
              </w:rPr>
              <w:t xml:space="preserve">ttaforme per la gestione interattiva della classe come Google </w:t>
            </w:r>
            <w:proofErr w:type="spellStart"/>
            <w:r>
              <w:rPr>
                <w:rFonts w:cs="Calibri"/>
                <w:sz w:val="18"/>
                <w:szCs w:val="18"/>
              </w:rPr>
              <w:t>Workspace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cs="Calibri"/>
                <w:sz w:val="18"/>
                <w:szCs w:val="18"/>
              </w:rPr>
              <w:t>Education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cs="Calibri"/>
                <w:sz w:val="18"/>
                <w:szCs w:val="18"/>
              </w:rPr>
              <w:t>app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utili alla didattica innovativa per la matematica e la creazione di quiz interattivi.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 monitor deve possedere la tecnologia </w:t>
            </w:r>
            <w:proofErr w:type="spellStart"/>
            <w:r>
              <w:rPr>
                <w:rFonts w:cs="Calibri"/>
                <w:sz w:val="18"/>
                <w:szCs w:val="18"/>
              </w:rPr>
              <w:t>ZeroGap</w:t>
            </w:r>
            <w:proofErr w:type="spellEnd"/>
            <w:r>
              <w:rPr>
                <w:rFonts w:cs="Calibri"/>
                <w:sz w:val="18"/>
                <w:szCs w:val="18"/>
              </w:rPr>
              <w:t>, soluzione che, a differenza d</w:t>
            </w:r>
            <w:r>
              <w:rPr>
                <w:rFonts w:cs="Calibri"/>
                <w:sz w:val="18"/>
                <w:szCs w:val="18"/>
              </w:rPr>
              <w:t xml:space="preserve">ei display tradizionali, elimina tutti gli strati tra vetro e pannello LCD; dunque, niente aria di mezzo e ciò si traduce in esperienza visiva eccezionale, miglior reattività al tocco con meno riflessi e angolo di </w:t>
            </w:r>
            <w:proofErr w:type="spellStart"/>
            <w:r>
              <w:rPr>
                <w:rFonts w:cs="Calibri"/>
                <w:sz w:val="18"/>
                <w:szCs w:val="18"/>
              </w:rPr>
              <w:t>vision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più ampio. </w:t>
            </w: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bookmarkStart w:id="2" w:name="_heading=h.gjdgxs" w:colFirst="0" w:colLast="0"/>
            <w:bookmarkEnd w:id="2"/>
            <w:r>
              <w:rPr>
                <w:rFonts w:cs="Calibri"/>
                <w:sz w:val="18"/>
                <w:szCs w:val="18"/>
              </w:rPr>
              <w:t>I monitor interattivi devono possedere certificazioni di qualità e sostenibilità, progettati con meticolosità, utilizzando materiale per imballaggio riciclabile ed offrono un nuovo livello di risparmio energetico, con una notevole riduzione dell'impatto su</w:t>
            </w:r>
            <w:r>
              <w:rPr>
                <w:rFonts w:cs="Calibri"/>
                <w:sz w:val="18"/>
                <w:szCs w:val="18"/>
              </w:rPr>
              <w:t>ll'ambiente, mantenendo al contempo prestazioni impeccabili.</w:t>
            </w:r>
          </w:p>
          <w:p w:rsidR="00960DA9" w:rsidRDefault="00960DA9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Multitouch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fino a 40 tocchi simultanei (OS Windows), fino a 20 tocchi in ambiente 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>, con penna e dito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Tecnologia a Infrarossi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Display con retroilluminazione LED IPS TFT LCD, superficie a</w:t>
            </w:r>
            <w:r>
              <w:rPr>
                <w:rFonts w:cs="Calibri"/>
                <w:sz w:val="18"/>
                <w:szCs w:val="18"/>
              </w:rPr>
              <w:t xml:space="preserve">ntiriflesso, </w:t>
            </w:r>
            <w:proofErr w:type="spellStart"/>
            <w:r>
              <w:rPr>
                <w:rFonts w:cs="Calibri"/>
                <w:sz w:val="18"/>
                <w:szCs w:val="18"/>
              </w:rPr>
              <w:t>ZeroGap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Ingressi: (</w:t>
            </w:r>
            <w:proofErr w:type="spellStart"/>
            <w:r>
              <w:rPr>
                <w:rFonts w:cs="Calibri"/>
                <w:sz w:val="18"/>
                <w:szCs w:val="18"/>
              </w:rPr>
              <w:t>ant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.) HDMI x1, USB2.0 x2, USB 3.0 x1, USB </w:t>
            </w:r>
            <w:proofErr w:type="spellStart"/>
            <w:r>
              <w:rPr>
                <w:rFonts w:cs="Calibri"/>
                <w:sz w:val="18"/>
                <w:szCs w:val="18"/>
              </w:rPr>
              <w:t>Touch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x1, USB </w:t>
            </w:r>
            <w:proofErr w:type="spellStart"/>
            <w:r>
              <w:rPr>
                <w:rFonts w:cs="Calibri"/>
                <w:sz w:val="18"/>
                <w:szCs w:val="18"/>
              </w:rPr>
              <w:t>Type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-C x1 | (post.) USB2.0 x1, USB3.0 x1, RS-232 x1, lettore SD Card x1, HDMI x3 (OPS slot x1), Audio-In x1, VGA-In x1, YPBPR x1, AV-In x1, RJ45-In x1, DP </w:t>
            </w:r>
            <w:proofErr w:type="spellStart"/>
            <w:r>
              <w:rPr>
                <w:rFonts w:cs="Calibri"/>
                <w:sz w:val="18"/>
                <w:szCs w:val="18"/>
              </w:rPr>
              <w:t>port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x1, USB</w:t>
            </w:r>
            <w:r>
              <w:rPr>
                <w:rFonts w:cs="Calibri"/>
                <w:sz w:val="18"/>
                <w:szCs w:val="18"/>
              </w:rPr>
              <w:t>-</w:t>
            </w:r>
            <w:proofErr w:type="spellStart"/>
            <w:r>
              <w:rPr>
                <w:rFonts w:cs="Calibri"/>
                <w:sz w:val="18"/>
                <w:szCs w:val="18"/>
              </w:rPr>
              <w:t>touch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x1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Uscite: (post.) SPDIF x1, RJ45-Out x1, HDMI-Out x1, </w:t>
            </w:r>
            <w:proofErr w:type="spellStart"/>
            <w:r>
              <w:rPr>
                <w:rFonts w:cs="Calibri"/>
                <w:sz w:val="18"/>
                <w:szCs w:val="18"/>
              </w:rPr>
              <w:t>Earphone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(Cuffie) x1, AV-Out x1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Speakers integrati frontalmente RMS 20W x2 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Risoluzione 4K UHD (3.840x2.160px @60Hz)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Luminosità 500 cd/m2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Colori 1.07 bilioni 10bit 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Contrasto 5.000:1 (</w:t>
            </w:r>
            <w:proofErr w:type="spellStart"/>
            <w:r>
              <w:rPr>
                <w:rFonts w:cs="Calibri"/>
                <w:sz w:val="18"/>
                <w:szCs w:val="18"/>
              </w:rPr>
              <w:t>typ</w:t>
            </w:r>
            <w:proofErr w:type="spellEnd"/>
            <w:r>
              <w:rPr>
                <w:rFonts w:cs="Calibri"/>
                <w:sz w:val="18"/>
                <w:szCs w:val="18"/>
              </w:rPr>
              <w:t>.)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Lifetime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 minimo 50.000h utilizzo in modalità </w:t>
            </w:r>
            <w:proofErr w:type="spellStart"/>
            <w:r>
              <w:rPr>
                <w:rFonts w:cs="Calibri"/>
                <w:sz w:val="18"/>
                <w:szCs w:val="18"/>
              </w:rPr>
              <w:t>std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(75.000h </w:t>
            </w:r>
            <w:proofErr w:type="gramStart"/>
            <w:r>
              <w:rPr>
                <w:rFonts w:cs="Calibri"/>
                <w:sz w:val="18"/>
                <w:szCs w:val="18"/>
              </w:rPr>
              <w:t>eco )</w:t>
            </w:r>
            <w:proofErr w:type="gramEnd"/>
            <w:r>
              <w:rPr>
                <w:rFonts w:cs="Calibri"/>
                <w:sz w:val="18"/>
                <w:szCs w:val="18"/>
              </w:rPr>
              <w:t>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Vetro </w:t>
            </w:r>
            <w:proofErr w:type="spellStart"/>
            <w:r>
              <w:rPr>
                <w:rFonts w:cs="Calibri"/>
                <w:sz w:val="18"/>
                <w:szCs w:val="18"/>
              </w:rPr>
              <w:t>antiglare</w:t>
            </w:r>
            <w:proofErr w:type="spellEnd"/>
            <w:r>
              <w:rPr>
                <w:rFonts w:cs="Calibri"/>
                <w:sz w:val="18"/>
                <w:szCs w:val="18"/>
              </w:rPr>
              <w:t> temperato caldo con spessore 4mm, durezza 7Mohs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Caratteristiche pannello </w:t>
            </w:r>
            <w:proofErr w:type="spellStart"/>
            <w:r>
              <w:rPr>
                <w:rFonts w:cs="Calibri"/>
                <w:sz w:val="18"/>
                <w:szCs w:val="18"/>
              </w:rPr>
              <w:t>touch</w:t>
            </w:r>
            <w:proofErr w:type="spellEnd"/>
            <w:r>
              <w:rPr>
                <w:rFonts w:cs="Calibri"/>
                <w:sz w:val="18"/>
                <w:szCs w:val="18"/>
              </w:rPr>
              <w:t>: Precisione &lt;1mm, Tempo di risposta 3ms   </w:t>
            </w:r>
          </w:p>
          <w:p w:rsidR="00960DA9" w:rsidRDefault="003278FA">
            <w:pPr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bookmarkStart w:id="3" w:name="_heading=h.30j0zll" w:colFirst="0" w:colLast="0"/>
            <w:bookmarkEnd w:id="3"/>
            <w:r>
              <w:rPr>
                <w:rFonts w:cs="Calibri"/>
                <w:sz w:val="18"/>
                <w:szCs w:val="18"/>
              </w:rPr>
              <w:t xml:space="preserve">Sistema 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Integrato 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8.0 -  CPU Dual-co</w:t>
            </w:r>
            <w:r>
              <w:rPr>
                <w:rFonts w:cs="Calibri"/>
                <w:sz w:val="18"/>
                <w:szCs w:val="18"/>
              </w:rPr>
              <w:t xml:space="preserve">re A73 | Dual-core A53 , GPU </w:t>
            </w:r>
            <w:proofErr w:type="spellStart"/>
            <w:r>
              <w:rPr>
                <w:rFonts w:cs="Calibri"/>
                <w:sz w:val="18"/>
                <w:szCs w:val="18"/>
              </w:rPr>
              <w:t>Quad</w:t>
            </w:r>
            <w:proofErr w:type="spellEnd"/>
            <w:r>
              <w:rPr>
                <w:rFonts w:cs="Calibri"/>
                <w:sz w:val="18"/>
                <w:szCs w:val="18"/>
              </w:rPr>
              <w:t>-core MaliG51 - </w:t>
            </w:r>
            <w:proofErr w:type="spellStart"/>
            <w:r>
              <w:rPr>
                <w:rFonts w:cs="Calibri"/>
                <w:sz w:val="18"/>
                <w:szCs w:val="18"/>
              </w:rPr>
              <w:t>Wifi</w:t>
            </w:r>
            <w:proofErr w:type="spellEnd"/>
            <w:r>
              <w:rPr>
                <w:rFonts w:cs="Calibri"/>
                <w:sz w:val="18"/>
                <w:szCs w:val="18"/>
              </w:rPr>
              <w:t> </w:t>
            </w:r>
            <w:proofErr w:type="spellStart"/>
            <w:r>
              <w:rPr>
                <w:rFonts w:cs="Calibri"/>
                <w:sz w:val="18"/>
                <w:szCs w:val="18"/>
              </w:rPr>
              <w:t>Built</w:t>
            </w:r>
            <w:proofErr w:type="spellEnd"/>
            <w:r>
              <w:rPr>
                <w:rFonts w:cs="Calibri"/>
                <w:sz w:val="18"/>
                <w:szCs w:val="18"/>
              </w:rPr>
              <w:t>-in 802.11 a/b/g/n/</w:t>
            </w:r>
            <w:proofErr w:type="spellStart"/>
            <w:r>
              <w:rPr>
                <w:rFonts w:cs="Calibri"/>
                <w:sz w:val="18"/>
                <w:szCs w:val="18"/>
              </w:rPr>
              <w:t>ac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 - Bluetooth - Memoria ROM 32GB integrata - Player Audio/Video - Lettore WPS Office per accesso a risorse Microsoft - </w:t>
            </w:r>
            <w:proofErr w:type="spellStart"/>
            <w:r>
              <w:rPr>
                <w:rFonts w:cs="Calibri"/>
                <w:sz w:val="18"/>
                <w:szCs w:val="18"/>
              </w:rPr>
              <w:t>Mirroring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per condivisione/duplicazione contenuti da </w:t>
            </w:r>
            <w:proofErr w:type="spellStart"/>
            <w:r>
              <w:rPr>
                <w:rFonts w:cs="Calibri"/>
                <w:sz w:val="18"/>
                <w:szCs w:val="18"/>
              </w:rPr>
              <w:t>d</w:t>
            </w:r>
            <w:r>
              <w:rPr>
                <w:rFonts w:cs="Calibri"/>
                <w:sz w:val="18"/>
                <w:szCs w:val="18"/>
              </w:rPr>
              <w:t>evice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(iOS/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/Windows) su monitor con funzionalità </w:t>
            </w:r>
            <w:proofErr w:type="spellStart"/>
            <w:r>
              <w:rPr>
                <w:rFonts w:cs="Calibri"/>
                <w:sz w:val="18"/>
                <w:szCs w:val="18"/>
              </w:rPr>
              <w:t>Splitscreen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 minimo 9 </w:t>
            </w:r>
            <w:proofErr w:type="spellStart"/>
            <w:r>
              <w:rPr>
                <w:rFonts w:cs="Calibri"/>
                <w:sz w:val="18"/>
                <w:szCs w:val="18"/>
              </w:rPr>
              <w:t>devices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contemporanei - </w:t>
            </w:r>
            <w:proofErr w:type="spellStart"/>
            <w:r>
              <w:rPr>
                <w:rFonts w:cs="Calibri"/>
                <w:sz w:val="18"/>
                <w:szCs w:val="18"/>
              </w:rPr>
              <w:t>WebBrowser</w:t>
            </w:r>
            <w:proofErr w:type="spellEnd"/>
            <w:r>
              <w:rPr>
                <w:rFonts w:cs="Calibri"/>
                <w:sz w:val="18"/>
                <w:szCs w:val="18"/>
              </w:rPr>
              <w:t> </w:t>
            </w:r>
            <w:proofErr w:type="spellStart"/>
            <w:r>
              <w:rPr>
                <w:rFonts w:cs="Calibri"/>
                <w:sz w:val="18"/>
                <w:szCs w:val="18"/>
              </w:rPr>
              <w:t>app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cs="Calibri"/>
                <w:sz w:val="18"/>
                <w:szCs w:val="18"/>
              </w:rPr>
              <w:t>Firefox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) per navigazione web - </w:t>
            </w:r>
            <w:proofErr w:type="spellStart"/>
            <w:r>
              <w:rPr>
                <w:rFonts w:cs="Calibri"/>
                <w:sz w:val="18"/>
                <w:szCs w:val="18"/>
              </w:rPr>
              <w:t>DabliuNote</w:t>
            </w:r>
            <w:proofErr w:type="spellEnd"/>
            <w:r>
              <w:rPr>
                <w:rFonts w:cs="Calibri"/>
                <w:sz w:val="18"/>
                <w:szCs w:val="18"/>
              </w:rPr>
              <w:t> </w:t>
            </w:r>
            <w:proofErr w:type="spellStart"/>
            <w:r>
              <w:rPr>
                <w:rFonts w:cs="Calibri"/>
                <w:sz w:val="18"/>
                <w:szCs w:val="18"/>
              </w:rPr>
              <w:t>app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per scrivere, annotare, disegnare su qualsiasi contenuto ( funzione di </w:t>
            </w:r>
            <w:proofErr w:type="spellStart"/>
            <w:r>
              <w:rPr>
                <w:rFonts w:cs="Calibri"/>
                <w:sz w:val="18"/>
                <w:szCs w:val="18"/>
              </w:rPr>
              <w:t>touch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differenziato </w:t>
            </w:r>
            <w:r>
              <w:rPr>
                <w:rFonts w:cs="Calibri"/>
                <w:sz w:val="18"/>
                <w:szCs w:val="18"/>
              </w:rPr>
              <w:t xml:space="preserve">e contemporaneo tra penna, dito e pugno per cancellare e con funzionalità aggiuntiva </w:t>
            </w:r>
            <w:proofErr w:type="spellStart"/>
            <w:r>
              <w:rPr>
                <w:rFonts w:cs="Calibri"/>
                <w:sz w:val="18"/>
                <w:szCs w:val="18"/>
              </w:rPr>
              <w:t>palm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detection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con cui il palmo viene riconosciuto come entità differente dalla penna/dito e non interferisce accidentalmente con la scrittura ) - </w:t>
            </w:r>
            <w:proofErr w:type="spellStart"/>
            <w:r>
              <w:rPr>
                <w:rFonts w:cs="Calibri"/>
                <w:sz w:val="18"/>
                <w:szCs w:val="18"/>
              </w:rPr>
              <w:t>App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didattiche Google </w:t>
            </w:r>
            <w:proofErr w:type="spellStart"/>
            <w:r>
              <w:rPr>
                <w:rFonts w:cs="Calibri"/>
                <w:sz w:val="18"/>
                <w:szCs w:val="18"/>
              </w:rPr>
              <w:t>Cl</w:t>
            </w:r>
            <w:r>
              <w:rPr>
                <w:rFonts w:cs="Calibri"/>
                <w:sz w:val="18"/>
                <w:szCs w:val="18"/>
              </w:rPr>
              <w:t>assroom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cs="Calibri"/>
                <w:sz w:val="18"/>
                <w:szCs w:val="18"/>
              </w:rPr>
              <w:t>app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di videoconferenza precaricate su OS </w:t>
            </w:r>
            <w:proofErr w:type="spellStart"/>
            <w:r>
              <w:rPr>
                <w:rFonts w:cs="Calibri"/>
                <w:sz w:val="18"/>
                <w:szCs w:val="18"/>
              </w:rPr>
              <w:t>Android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Zoom, </w:t>
            </w:r>
            <w:proofErr w:type="spellStart"/>
            <w:r>
              <w:rPr>
                <w:rFonts w:cs="Calibri"/>
                <w:sz w:val="18"/>
                <w:szCs w:val="18"/>
              </w:rPr>
              <w:t>Meet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Skype, </w:t>
            </w:r>
            <w:proofErr w:type="spellStart"/>
            <w:r>
              <w:rPr>
                <w:rFonts w:cs="Calibri"/>
                <w:sz w:val="18"/>
                <w:szCs w:val="18"/>
              </w:rPr>
              <w:t>Webex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960DA9" w:rsidRDefault="00960DA9">
            <w:pPr>
              <w:jc w:val="both"/>
              <w:rPr>
                <w:rFonts w:cs="Calibri"/>
                <w:color w:val="5F5F5F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bookmarkStart w:id="4" w:name="_heading=h.1fob9te" w:colFirst="0" w:colLast="0"/>
            <w:bookmarkEnd w:id="4"/>
            <w:r>
              <w:rPr>
                <w:rFonts w:cs="Calibri"/>
                <w:sz w:val="18"/>
                <w:szCs w:val="18"/>
              </w:rPr>
              <w:t>DOTAZIONE A CORREDO DEL MONITOR (PENA ESCLUSIONE)</w:t>
            </w:r>
          </w:p>
          <w:p w:rsidR="00960DA9" w:rsidRDefault="003278FA">
            <w:pPr>
              <w:numPr>
                <w:ilvl w:val="0"/>
                <w:numId w:val="3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Staffa per installazione a parete (originale del Produttore); Penna x2, Telecomando x1, Cavo di alimentazione, cavo HDMI</w:t>
            </w:r>
            <w:r>
              <w:rPr>
                <w:rFonts w:cs="Calibri"/>
                <w:sz w:val="18"/>
                <w:szCs w:val="18"/>
              </w:rPr>
              <w:t>, cavo USB; </w:t>
            </w:r>
          </w:p>
          <w:p w:rsidR="00960DA9" w:rsidRDefault="003278FA">
            <w:pPr>
              <w:numPr>
                <w:ilvl w:val="0"/>
                <w:numId w:val="3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Piattaforma didattica </w:t>
            </w:r>
            <w:proofErr w:type="spellStart"/>
            <w:r>
              <w:rPr>
                <w:rFonts w:cs="Calibri"/>
                <w:sz w:val="18"/>
                <w:szCs w:val="18"/>
              </w:rPr>
              <w:t>cloud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per ambienti di apprendimento ibridi (in presenza / a distanza) in licenza con durata 3 anni 1 </w:t>
            </w:r>
            <w:proofErr w:type="spellStart"/>
            <w:r>
              <w:rPr>
                <w:rFonts w:cs="Calibri"/>
                <w:sz w:val="18"/>
                <w:szCs w:val="18"/>
              </w:rPr>
              <w:t>Teacher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 almeno 40 utenti);</w:t>
            </w:r>
          </w:p>
          <w:p w:rsidR="00960DA9" w:rsidRDefault="003278FA">
            <w:pPr>
              <w:numPr>
                <w:ilvl w:val="0"/>
                <w:numId w:val="3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Piattaforma </w:t>
            </w:r>
            <w:proofErr w:type="spellStart"/>
            <w:r>
              <w:rPr>
                <w:rFonts w:cs="Calibri"/>
                <w:sz w:val="18"/>
                <w:szCs w:val="18"/>
              </w:rPr>
              <w:t>cloud-based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MDM per la gestione da remoto degli schermi interattivi;</w:t>
            </w:r>
          </w:p>
          <w:p w:rsidR="00960DA9" w:rsidRDefault="003278FA">
            <w:pPr>
              <w:numPr>
                <w:ilvl w:val="0"/>
                <w:numId w:val="3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Software d</w:t>
            </w:r>
            <w:r>
              <w:rPr>
                <w:rFonts w:cs="Calibri"/>
                <w:sz w:val="18"/>
                <w:szCs w:val="18"/>
              </w:rPr>
              <w:t>idattico desktop collaborativo-gestionale per creazione lezione interattiva (licenza perpetua).</w:t>
            </w:r>
          </w:p>
          <w:p w:rsidR="00960DA9" w:rsidRDefault="00960DA9">
            <w:pPr>
              <w:jc w:val="both"/>
              <w:rPr>
                <w:rFonts w:cs="Calibri"/>
                <w:color w:val="5F5F5F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GARANZIA 36 MESI ON-SITE PREMIUM CON SWAP DEL PRODOTTO </w:t>
            </w:r>
          </w:p>
          <w:p w:rsidR="00960DA9" w:rsidRDefault="003278FA">
            <w:pPr>
              <w:numPr>
                <w:ilvl w:val="0"/>
                <w:numId w:val="3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 servizio di assistenza deve essere certificato e fornito dal produttore del monitor interattivo, quest’ultimo si impegna a fornire un servizio di assistenza premium per il/i monitor interattivo/i installato. Il servizio consiste nello swap direttamente </w:t>
            </w:r>
            <w:r>
              <w:rPr>
                <w:rFonts w:cs="Calibri"/>
                <w:sz w:val="18"/>
                <w:szCs w:val="18"/>
              </w:rPr>
              <w:t>nella sede del Cliente/Utente finale del prodotto non funzionante, ovvero il produttore si impegna, in tempi brevi, ad inviare nel luogo d’installazione, un prodotto sostitutivo equivalente o migliorativo. Il servizio di disinstallazione del monitor non fu</w:t>
            </w:r>
            <w:r>
              <w:rPr>
                <w:rFonts w:cs="Calibri"/>
                <w:sz w:val="18"/>
                <w:szCs w:val="18"/>
              </w:rPr>
              <w:t>nzionante (e relativo imballaggio per ritiro) e montaggio del sostitutivo, sarà a carico del produttore del monitor ed effettuato da personale specializzato.</w:t>
            </w:r>
          </w:p>
          <w:p w:rsidR="00960DA9" w:rsidRDefault="00960DA9">
            <w:pPr>
              <w:ind w:left="360"/>
              <w:jc w:val="both"/>
              <w:rPr>
                <w:rFonts w:cs="Calibri"/>
                <w:sz w:val="18"/>
                <w:szCs w:val="18"/>
              </w:rPr>
            </w:pPr>
          </w:p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IL MONITOR DOVRA’ ESSERE CONFORME/CERTIFICATO, PENA ESCLUSIONE, ALLE SEGUENTI NORMATIVE:</w:t>
            </w:r>
          </w:p>
          <w:p w:rsidR="00960DA9" w:rsidRDefault="003278FA">
            <w:pPr>
              <w:numPr>
                <w:ilvl w:val="0"/>
                <w:numId w:val="5"/>
              </w:numPr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Certific</w:t>
            </w:r>
            <w:r>
              <w:rPr>
                <w:rFonts w:cs="Calibri"/>
                <w:sz w:val="18"/>
                <w:szCs w:val="18"/>
              </w:rPr>
              <w:t xml:space="preserve">ato Energy Star, </w:t>
            </w:r>
            <w:proofErr w:type="spellStart"/>
            <w:r>
              <w:rPr>
                <w:rFonts w:cs="Calibri"/>
                <w:sz w:val="18"/>
                <w:szCs w:val="18"/>
              </w:rPr>
              <w:t>conditio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sine qua non per l’ottenimento della conformità ai Criteri Ambientali Minimi ( oltre alla copia del certificato Energy Star, evidenza della certificazione deve essere chiaramente riportata sul sito istituzionale</w:t>
            </w:r>
            <w:r>
              <w:rPr>
                <w:rFonts w:cs="Calibri"/>
                <w:color w:val="5F5F5F"/>
                <w:sz w:val="18"/>
                <w:szCs w:val="18"/>
              </w:rPr>
              <w:t xml:space="preserve"> </w:t>
            </w:r>
            <w:hyperlink r:id="rId9">
              <w:r>
                <w:rPr>
                  <w:rFonts w:cs="Calibri"/>
                  <w:color w:val="0000FF"/>
                  <w:sz w:val="18"/>
                  <w:szCs w:val="18"/>
                  <w:u w:val="single"/>
                </w:rPr>
                <w:t>https://www.energystar.gov/productfinder/product/certified-displays/</w:t>
              </w:r>
            </w:hyperlink>
            <w:r>
              <w:rPr>
                <w:rFonts w:cs="Calibri"/>
                <w:color w:val="5F5F5F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color w:val="5F5F5F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 allegare certificato pena esclusione );</w:t>
            </w:r>
          </w:p>
          <w:p w:rsidR="00960DA9" w:rsidRDefault="003278FA">
            <w:pPr>
              <w:numPr>
                <w:ilvl w:val="0"/>
                <w:numId w:val="5"/>
              </w:numPr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Conforme Criteri Ambientali Minimi per le forniture di attrezzature elett</w:t>
            </w:r>
            <w:r>
              <w:rPr>
                <w:rFonts w:cs="Calibri"/>
                <w:sz w:val="18"/>
                <w:szCs w:val="18"/>
              </w:rPr>
              <w:t xml:space="preserve">riche ed elettroniche d’ufficio, di cui al D.M. 13.12.2013, nel pieno rispetto del piano d’azione per la sostenibilità ambientale dei consumi nel settore della Pubblica amministrazione </w:t>
            </w:r>
            <w:proofErr w:type="gramStart"/>
            <w:r>
              <w:rPr>
                <w:rFonts w:cs="Calibri"/>
                <w:sz w:val="18"/>
                <w:szCs w:val="18"/>
              </w:rPr>
              <w:t>( allegare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fascicolo tecnico pena esclusione );</w:t>
            </w:r>
          </w:p>
          <w:p w:rsidR="00960DA9" w:rsidRDefault="003278FA">
            <w:pPr>
              <w:numPr>
                <w:ilvl w:val="0"/>
                <w:numId w:val="5"/>
              </w:numPr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Certificato Energy </w:t>
            </w:r>
            <w:proofErr w:type="spellStart"/>
            <w:r>
              <w:rPr>
                <w:rFonts w:cs="Calibri"/>
                <w:sz w:val="18"/>
                <w:szCs w:val="18"/>
              </w:rPr>
              <w:t>Efficiency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Class A++ </w:t>
            </w:r>
            <w:proofErr w:type="gramStart"/>
            <w:r>
              <w:rPr>
                <w:rFonts w:cs="Calibri"/>
                <w:sz w:val="18"/>
                <w:szCs w:val="18"/>
              </w:rPr>
              <w:t>( Directive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2009/125/EC on the </w:t>
            </w:r>
            <w:proofErr w:type="spellStart"/>
            <w:r>
              <w:rPr>
                <w:rFonts w:cs="Calibri"/>
                <w:sz w:val="18"/>
                <w:szCs w:val="18"/>
              </w:rPr>
              <w:t>Ecodesign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Calibri"/>
                <w:sz w:val="18"/>
                <w:szCs w:val="18"/>
              </w:rPr>
              <w:t>energy-related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products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), relativa al possesso delle specifiche tecniche, cui i prodotti connessi all’energia devono ottemperare per essere immessi sul mercato e/o per la </w:t>
            </w:r>
            <w:r>
              <w:rPr>
                <w:rFonts w:cs="Calibri"/>
                <w:sz w:val="18"/>
                <w:szCs w:val="18"/>
              </w:rPr>
              <w:t>loro messa in servizio ( allegare certificato pena esclusione );</w:t>
            </w:r>
          </w:p>
          <w:p w:rsidR="00960DA9" w:rsidRDefault="003278FA">
            <w:pPr>
              <w:numPr>
                <w:ilvl w:val="0"/>
                <w:numId w:val="5"/>
              </w:numPr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Certificato di conformità alla norma UNI EN ISO 9241-11:2018 Ergonomia delle interazioni uomo/sistema;</w:t>
            </w:r>
          </w:p>
          <w:p w:rsidR="00960DA9" w:rsidRDefault="003278FA">
            <w:pPr>
              <w:numPr>
                <w:ilvl w:val="0"/>
                <w:numId w:val="5"/>
              </w:numPr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Conforme alla normativa EN 62471 "</w:t>
            </w:r>
            <w:proofErr w:type="spellStart"/>
            <w:r>
              <w:rPr>
                <w:rFonts w:cs="Calibri"/>
                <w:sz w:val="18"/>
                <w:szCs w:val="18"/>
              </w:rPr>
              <w:t>Photobiological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safety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cs="Calibri"/>
                <w:sz w:val="18"/>
                <w:szCs w:val="18"/>
              </w:rPr>
              <w:t>lamps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Calibri"/>
                <w:sz w:val="18"/>
                <w:szCs w:val="18"/>
              </w:rPr>
              <w:t>lamp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systems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" </w:t>
            </w:r>
            <w:proofErr w:type="gramStart"/>
            <w:r>
              <w:rPr>
                <w:rFonts w:cs="Calibri"/>
                <w:sz w:val="18"/>
                <w:szCs w:val="18"/>
              </w:rPr>
              <w:t>( al</w:t>
            </w:r>
            <w:r>
              <w:rPr>
                <w:rFonts w:cs="Calibri"/>
                <w:sz w:val="18"/>
                <w:szCs w:val="18"/>
              </w:rPr>
              <w:t>legare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certificato pena esclusione );</w:t>
            </w:r>
          </w:p>
          <w:p w:rsidR="00960DA9" w:rsidRPr="0078715C" w:rsidRDefault="003278FA" w:rsidP="0078715C">
            <w:pPr>
              <w:numPr>
                <w:ilvl w:val="0"/>
                <w:numId w:val="5"/>
              </w:numPr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 software didattico desktop in dotazione del monitor deve soddisfare i requisiti funzionali necessari alla piena copertura delle voci del </w:t>
            </w:r>
            <w:proofErr w:type="spellStart"/>
            <w:r>
              <w:rPr>
                <w:rFonts w:cs="Calibri"/>
                <w:sz w:val="18"/>
                <w:szCs w:val="18"/>
              </w:rPr>
              <w:t>syllabus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CERT-LIM Interactive </w:t>
            </w:r>
            <w:proofErr w:type="spellStart"/>
            <w:r>
              <w:rPr>
                <w:rFonts w:cs="Calibri"/>
                <w:sz w:val="18"/>
                <w:szCs w:val="18"/>
              </w:rPr>
              <w:t>Teacher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dell’AICA (Associazione Italiana per l’I</w:t>
            </w:r>
            <w:r>
              <w:rPr>
                <w:rFonts w:cs="Calibri"/>
                <w:sz w:val="18"/>
                <w:szCs w:val="18"/>
              </w:rPr>
              <w:t>nformatica ed il Calcolo Automatico). Oltre alla copia della certificazione rilasciata da AICA ed intestata al produttore del monitor, evidenza della stessa deve essere chiaramente riportata sul sito istituzionale</w:t>
            </w:r>
            <w:r>
              <w:rPr>
                <w:rFonts w:cs="Calibri"/>
                <w:color w:val="5F5F5F"/>
                <w:sz w:val="18"/>
                <w:szCs w:val="18"/>
              </w:rPr>
              <w:t xml:space="preserve"> </w:t>
            </w:r>
            <w:hyperlink r:id="rId10">
              <w:r>
                <w:rPr>
                  <w:rFonts w:cs="Calibri"/>
                  <w:color w:val="0000FF"/>
                  <w:sz w:val="18"/>
                  <w:szCs w:val="18"/>
                  <w:u w:val="single"/>
                </w:rPr>
                <w:t>https://www.aicanet.it/cert-lim</w:t>
              </w:r>
            </w:hyperlink>
            <w:r>
              <w:rPr>
                <w:rFonts w:cs="Calibri"/>
                <w:color w:val="5F5F5F"/>
                <w:sz w:val="18"/>
                <w:szCs w:val="18"/>
              </w:rPr>
              <w:t xml:space="preserve"> (</w:t>
            </w:r>
            <w:r>
              <w:rPr>
                <w:rFonts w:cs="Calibri"/>
                <w:sz w:val="18"/>
                <w:szCs w:val="18"/>
              </w:rPr>
              <w:t>allegare copia dichiarazione AICA certificato pena esclusione).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MARCA E MODELLO </w:t>
            </w:r>
          </w:p>
        </w:tc>
      </w:tr>
    </w:tbl>
    <w:p w:rsidR="00960DA9" w:rsidRDefault="00960D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DA9" w:rsidRDefault="0032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CARRELLO PER MONITOR INTERATTIVO</w:t>
      </w:r>
    </w:p>
    <w:p w:rsidR="00960DA9" w:rsidRDefault="00960DA9">
      <w:pPr>
        <w:spacing w:after="0" w:line="240" w:lineRule="auto"/>
        <w:ind w:left="1440"/>
        <w:rPr>
          <w:b/>
          <w:sz w:val="20"/>
          <w:szCs w:val="20"/>
        </w:rPr>
      </w:pPr>
    </w:p>
    <w:tbl>
      <w:tblPr>
        <w:tblStyle w:val="af1"/>
        <w:tblW w:w="14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0500"/>
        <w:gridCol w:w="2835"/>
      </w:tblGrid>
      <w:tr w:rsidR="00960DA9">
        <w:trPr>
          <w:trHeight w:val="32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r>
              <w:t>17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Descrizione tecnica </w:t>
            </w:r>
          </w:p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Carrello mobile per monitor fino a 86" portata </w:t>
            </w:r>
            <w:proofErr w:type="spellStart"/>
            <w:r>
              <w:rPr>
                <w:rFonts w:cs="Calibri"/>
              </w:rPr>
              <w:t>max</w:t>
            </w:r>
            <w:proofErr w:type="spellEnd"/>
            <w:r>
              <w:rPr>
                <w:rFonts w:cs="Calibri"/>
              </w:rPr>
              <w:t xml:space="preserve"> 100kg, regolazione manuale altezza, con mensola centrale portaoggetti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960DA9">
            <w:pPr>
              <w:rPr>
                <w:sz w:val="18"/>
                <w:szCs w:val="18"/>
              </w:rPr>
            </w:pPr>
          </w:p>
        </w:tc>
      </w:tr>
    </w:tbl>
    <w:p w:rsidR="00960DA9" w:rsidRDefault="00960D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DA9" w:rsidRDefault="003278FA">
      <w:p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MODULO DI SEGRETERIA </w:t>
      </w:r>
    </w:p>
    <w:p w:rsidR="00960DA9" w:rsidRDefault="00960DA9">
      <w:pPr>
        <w:spacing w:after="0" w:line="240" w:lineRule="auto"/>
        <w:rPr>
          <w:b/>
          <w:sz w:val="20"/>
          <w:szCs w:val="20"/>
        </w:rPr>
      </w:pPr>
    </w:p>
    <w:tbl>
      <w:tblPr>
        <w:tblStyle w:val="af2"/>
        <w:tblW w:w="14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"/>
        <w:gridCol w:w="10770"/>
        <w:gridCol w:w="2850"/>
      </w:tblGrid>
      <w:tr w:rsidR="00960DA9">
        <w:trPr>
          <w:trHeight w:val="32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r>
              <w:t>1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widowControl w:val="0"/>
              <w:shd w:val="clear" w:color="auto" w:fill="FFFFFF"/>
              <w:spacing w:line="276" w:lineRule="auto"/>
              <w:rPr>
                <w:rFonts w:cs="Calibri"/>
                <w:color w:val="333F48"/>
              </w:rPr>
            </w:pPr>
            <w:r>
              <w:rPr>
                <w:rFonts w:cs="Calibri"/>
                <w:color w:val="333F48"/>
              </w:rPr>
              <w:t>Tavoletta grafica</w:t>
            </w:r>
          </w:p>
          <w:p w:rsidR="00960DA9" w:rsidRDefault="003278F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cs="Calibri"/>
              </w:rPr>
            </w:pPr>
            <w:r>
              <w:rPr>
                <w:rFonts w:cs="Calibri"/>
                <w:color w:val="333F48"/>
              </w:rPr>
              <w:t>Connessione cablato / wireless</w:t>
            </w:r>
          </w:p>
          <w:p w:rsidR="00960DA9" w:rsidRDefault="003278F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cs="Calibri"/>
              </w:rPr>
            </w:pPr>
            <w:r>
              <w:rPr>
                <w:rFonts w:cs="Calibri"/>
                <w:color w:val="333F48"/>
              </w:rPr>
              <w:t>4 tasti</w:t>
            </w:r>
          </w:p>
          <w:p w:rsidR="00960DA9" w:rsidRDefault="003278F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cs="Calibri"/>
              </w:rPr>
            </w:pPr>
            <w:r>
              <w:rPr>
                <w:rFonts w:cs="Calibri"/>
                <w:color w:val="333F48"/>
              </w:rPr>
              <w:t>Area attività 216x135 mm</w:t>
            </w:r>
          </w:p>
          <w:p w:rsidR="00960DA9" w:rsidRDefault="003278F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cs="Calibri"/>
              </w:rPr>
            </w:pPr>
            <w:r>
              <w:rPr>
                <w:rFonts w:cs="Calibri"/>
                <w:color w:val="333F48"/>
              </w:rPr>
              <w:t>Penna a5 wide</w:t>
            </w:r>
          </w:p>
          <w:p w:rsidR="00960DA9" w:rsidRDefault="003278F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cs="Calibri"/>
              </w:rPr>
            </w:pPr>
            <w:r>
              <w:rPr>
                <w:rFonts w:cs="Calibri"/>
                <w:color w:val="333F48"/>
              </w:rPr>
              <w:t>Cavo 1,5 mt.</w:t>
            </w:r>
          </w:p>
          <w:p w:rsidR="00960DA9" w:rsidRDefault="003278F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cs="Calibri"/>
              </w:rPr>
            </w:pPr>
            <w:r>
              <w:rPr>
                <w:rFonts w:cs="Calibri"/>
                <w:color w:val="333F48"/>
              </w:rPr>
              <w:t>Colore nero</w:t>
            </w:r>
          </w:p>
          <w:p w:rsidR="00960DA9" w:rsidRDefault="00960DA9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960D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60DA9" w:rsidRDefault="00960D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DA9" w:rsidRDefault="0032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TARGHE PUBBLICITA’ – ETICHETTE INVENTARIO E CHIAVETTE USB PER PUBBLICITA’</w:t>
      </w:r>
    </w:p>
    <w:p w:rsidR="00960DA9" w:rsidRDefault="00960DA9">
      <w:pPr>
        <w:spacing w:after="0" w:line="240" w:lineRule="auto"/>
        <w:ind w:left="1440"/>
        <w:rPr>
          <w:b/>
          <w:sz w:val="20"/>
          <w:szCs w:val="20"/>
        </w:rPr>
      </w:pPr>
    </w:p>
    <w:tbl>
      <w:tblPr>
        <w:tblStyle w:val="af3"/>
        <w:tblW w:w="11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8700"/>
      </w:tblGrid>
      <w:tr w:rsidR="00960DA9">
        <w:trPr>
          <w:trHeight w:val="32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r>
              <w:t>incluso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  <w:color w:val="333F48"/>
              </w:rPr>
            </w:pPr>
            <w:r>
              <w:rPr>
                <w:rFonts w:cs="Calibri"/>
                <w:color w:val="333F48"/>
              </w:rPr>
              <w:t xml:space="preserve">N. 5 targhe pubblicità  A4 Targa in materiale </w:t>
            </w:r>
            <w:proofErr w:type="spellStart"/>
            <w:r>
              <w:rPr>
                <w:rFonts w:cs="Calibri"/>
                <w:color w:val="333F48"/>
              </w:rPr>
              <w:t>Forex</w:t>
            </w:r>
            <w:proofErr w:type="spellEnd"/>
            <w:r>
              <w:rPr>
                <w:rFonts w:cs="Calibri"/>
                <w:color w:val="333F48"/>
              </w:rPr>
              <w:t xml:space="preserve"> A4 spessore e 45 etichette </w:t>
            </w:r>
          </w:p>
        </w:tc>
      </w:tr>
    </w:tbl>
    <w:p w:rsidR="00960DA9" w:rsidRDefault="00960D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DA9" w:rsidRDefault="003278FA" w:rsidP="0078715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Consegna installazione e garanzia prodotti</w:t>
      </w:r>
    </w:p>
    <w:p w:rsidR="00960DA9" w:rsidRDefault="003278FA" w:rsidP="0078715C">
      <w:pPr>
        <w:widowControl w:val="0"/>
        <w:spacing w:after="0" w:line="240" w:lineRule="auto"/>
        <w:jc w:val="both"/>
      </w:pPr>
      <w:r>
        <w:t xml:space="preserve">Le attività di consegna e installazione includono: imballaggio, trasporto all’interno del plesso destinato, facchinaggio, posa in opera su carrello mobile di n. 17 Monitor </w:t>
      </w:r>
      <w:proofErr w:type="gramStart"/>
      <w:r>
        <w:t>e  su</w:t>
      </w:r>
      <w:proofErr w:type="gramEnd"/>
      <w:r>
        <w:t xml:space="preserve"> muro ( no cartongesso ) di n. 4 Monitor,  previo smontaggio dei kit </w:t>
      </w:r>
      <w:proofErr w:type="spellStart"/>
      <w:r>
        <w:t>lim</w:t>
      </w:r>
      <w:proofErr w:type="spellEnd"/>
      <w:r>
        <w:t xml:space="preserve"> e facc</w:t>
      </w:r>
      <w:r>
        <w:t xml:space="preserve">hinaggio. Le consegne sono previste su 5 sedi diverse tutte all’interno dello stesso Comune e con una distanza massima di km 2,5 tra loro. </w:t>
      </w:r>
    </w:p>
    <w:p w:rsidR="00960DA9" w:rsidRDefault="003278FA" w:rsidP="0078715C">
      <w:pPr>
        <w:widowControl w:val="0"/>
        <w:spacing w:after="0" w:line="240" w:lineRule="auto"/>
        <w:jc w:val="both"/>
      </w:pPr>
      <w:r>
        <w:t>Dispositivi Modulo segreteria: consegna dispositivi a carico dell'operatore</w:t>
      </w:r>
    </w:p>
    <w:p w:rsidR="00960DA9" w:rsidRDefault="00960DA9" w:rsidP="0078715C">
      <w:pPr>
        <w:widowControl w:val="0"/>
        <w:spacing w:after="0" w:line="240" w:lineRule="auto"/>
        <w:jc w:val="both"/>
      </w:pPr>
    </w:p>
    <w:p w:rsidR="00960DA9" w:rsidRDefault="003278FA" w:rsidP="0078715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Formazione</w:t>
      </w:r>
    </w:p>
    <w:p w:rsidR="00960DA9" w:rsidRDefault="003278FA" w:rsidP="0078715C">
      <w:pPr>
        <w:widowControl w:val="0"/>
        <w:spacing w:after="0" w:line="240" w:lineRule="auto"/>
        <w:jc w:val="both"/>
      </w:pPr>
      <w:r>
        <w:t>Si richiede 4 ore di formazi</w:t>
      </w:r>
      <w:r>
        <w:t>one anche online all’uso delle apparecchiature al nostro team digitale ed eventuali altri 2 incaricati al progetto.</w:t>
      </w:r>
    </w:p>
    <w:p w:rsidR="00960DA9" w:rsidRDefault="00960DA9" w:rsidP="0078715C">
      <w:pPr>
        <w:widowControl w:val="0"/>
        <w:spacing w:after="0" w:line="240" w:lineRule="auto"/>
      </w:pPr>
    </w:p>
    <w:p w:rsidR="00960DA9" w:rsidRDefault="003278FA" w:rsidP="0078715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Manutenzione e assistenza</w:t>
      </w:r>
    </w:p>
    <w:p w:rsidR="00960DA9" w:rsidRDefault="003278FA" w:rsidP="0078715C">
      <w:pPr>
        <w:widowControl w:val="0"/>
        <w:spacing w:after="0" w:line="240" w:lineRule="auto"/>
        <w:jc w:val="both"/>
      </w:pPr>
      <w:r>
        <w:t>Garanzia di assistenza come specificato nel capitolato singole voci.</w:t>
      </w:r>
    </w:p>
    <w:p w:rsidR="00960DA9" w:rsidRDefault="00960DA9">
      <w:pPr>
        <w:widowControl w:val="0"/>
        <w:spacing w:after="0" w:line="240" w:lineRule="auto"/>
      </w:pPr>
    </w:p>
    <w:p w:rsidR="00960DA9" w:rsidRDefault="003278F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Tabella di Riepilogo Della Fornitura</w:t>
      </w:r>
      <w:bookmarkStart w:id="5" w:name="bookmark=kix.dp02d8nw1y9d" w:colFirst="0" w:colLast="0"/>
      <w:bookmarkEnd w:id="5"/>
      <w:r>
        <w:rPr>
          <w:b/>
        </w:rPr>
        <w:t xml:space="preserve"> </w:t>
      </w:r>
    </w:p>
    <w:p w:rsidR="00960DA9" w:rsidRDefault="003278FA">
      <w:pPr>
        <w:jc w:val="both"/>
        <w:rPr>
          <w:b/>
          <w:u w:val="single"/>
        </w:rPr>
      </w:pPr>
      <w:r>
        <w:rPr>
          <w:b/>
          <w:u w:val="single"/>
        </w:rPr>
        <w:t>RIEPI</w:t>
      </w:r>
      <w:r>
        <w:rPr>
          <w:b/>
          <w:u w:val="single"/>
        </w:rPr>
        <w:t>LOGO PER QUANTITA’</w:t>
      </w:r>
    </w:p>
    <w:tbl>
      <w:tblPr>
        <w:tblStyle w:val="af4"/>
        <w:tblW w:w="6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940"/>
      </w:tblGrid>
      <w:tr w:rsidR="00960DA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>Descrizione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Q.tà</w:t>
            </w:r>
          </w:p>
        </w:tc>
      </w:tr>
      <w:tr w:rsidR="00960DA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 xml:space="preserve">MODULO MONITOR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960DA9">
            <w:pPr>
              <w:jc w:val="center"/>
              <w:rPr>
                <w:rFonts w:cs="Calibri"/>
              </w:rPr>
            </w:pPr>
          </w:p>
        </w:tc>
      </w:tr>
      <w:tr w:rsidR="00960DA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>MONITOR INTERATTIVI 65”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</w:tr>
      <w:tr w:rsidR="00960DA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>MONITOR INTERATTIVI 75”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960DA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b/>
              </w:rPr>
            </w:pPr>
            <w:r>
              <w:rPr>
                <w:rFonts w:cs="Calibri"/>
              </w:rPr>
              <w:t>CARRELLO PER MONITOR INTERATTIVO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960DA9">
        <w:trPr>
          <w:trHeight w:val="2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 xml:space="preserve">SEGRETERIA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960DA9">
            <w:pPr>
              <w:jc w:val="center"/>
              <w:rPr>
                <w:rFonts w:cs="Calibri"/>
              </w:rPr>
            </w:pPr>
          </w:p>
        </w:tc>
      </w:tr>
      <w:tr w:rsidR="00960DA9">
        <w:trPr>
          <w:trHeight w:val="2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TAVOLETTA GRAFICA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960DA9">
        <w:trPr>
          <w:trHeight w:val="2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>PUBBLICITA’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INCLUSA come da descrizione</w:t>
            </w:r>
          </w:p>
        </w:tc>
      </w:tr>
      <w:tr w:rsidR="00960DA9">
        <w:trPr>
          <w:trHeight w:val="2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>Consegna installazione e garanzia prodotti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come da descrizione</w:t>
            </w:r>
          </w:p>
        </w:tc>
      </w:tr>
      <w:tr w:rsidR="00960DA9">
        <w:trPr>
          <w:trHeight w:val="2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>Formazione in ore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 ore on line </w:t>
            </w:r>
          </w:p>
        </w:tc>
      </w:tr>
      <w:tr w:rsidR="00960DA9">
        <w:trPr>
          <w:trHeight w:val="2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rPr>
                <w:rFonts w:cs="Calibri"/>
              </w:rPr>
            </w:pPr>
            <w:r>
              <w:rPr>
                <w:rFonts w:cs="Calibri"/>
              </w:rPr>
              <w:t>Manutenzione e assistenza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A9" w:rsidRDefault="00327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come da descrizione</w:t>
            </w:r>
          </w:p>
        </w:tc>
      </w:tr>
    </w:tbl>
    <w:p w:rsidR="00960DA9" w:rsidRDefault="00960DA9">
      <w:pPr>
        <w:spacing w:after="0" w:line="240" w:lineRule="auto"/>
        <w:rPr>
          <w:sz w:val="20"/>
          <w:szCs w:val="20"/>
        </w:rPr>
      </w:pPr>
    </w:p>
    <w:p w:rsidR="00960DA9" w:rsidRDefault="00960DA9">
      <w:pPr>
        <w:spacing w:after="0" w:line="240" w:lineRule="auto"/>
        <w:ind w:left="1134"/>
        <w:jc w:val="both"/>
        <w:rPr>
          <w:sz w:val="24"/>
          <w:szCs w:val="24"/>
        </w:rPr>
      </w:pPr>
    </w:p>
    <w:p w:rsidR="00960DA9" w:rsidRDefault="00960DA9"/>
    <w:sectPr w:rsidR="00960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134" w:bottom="90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FA" w:rsidRDefault="003278FA">
      <w:pPr>
        <w:spacing w:after="0" w:line="240" w:lineRule="auto"/>
      </w:pPr>
      <w:r>
        <w:separator/>
      </w:r>
    </w:p>
  </w:endnote>
  <w:endnote w:type="continuationSeparator" w:id="0">
    <w:p w:rsidR="003278FA" w:rsidRDefault="003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5C" w:rsidRDefault="007871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A9" w:rsidRDefault="003278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  <w:sz w:val="16"/>
        <w:szCs w:val="16"/>
      </w:rPr>
    </w:pPr>
    <w:bookmarkStart w:id="6" w:name="_GoBack"/>
    <w:bookmarkEnd w:id="6"/>
    <w:proofErr w:type="spellStart"/>
    <w:r>
      <w:rPr>
        <w:rFonts w:cs="Calibri"/>
        <w:color w:val="000000"/>
        <w:sz w:val="16"/>
        <w:szCs w:val="16"/>
      </w:rPr>
      <w:t>Pag</w:t>
    </w:r>
    <w:proofErr w:type="spellEnd"/>
    <w:r>
      <w:rPr>
        <w:rFonts w:cs="Calibri"/>
        <w:color w:val="000000"/>
        <w:sz w:val="16"/>
        <w:szCs w:val="16"/>
      </w:rPr>
      <w:t xml:space="preserve">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 w:rsidR="0078715C">
      <w:rPr>
        <w:rFonts w:cs="Calibri"/>
        <w:color w:val="000000"/>
        <w:sz w:val="16"/>
        <w:szCs w:val="16"/>
      </w:rPr>
      <w:fldChar w:fldCharType="separate"/>
    </w:r>
    <w:r w:rsidR="0078715C">
      <w:rPr>
        <w:rFonts w:cs="Calibri"/>
        <w:noProof/>
        <w:color w:val="000000"/>
        <w:sz w:val="16"/>
        <w:szCs w:val="16"/>
      </w:rPr>
      <w:t>4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 xml:space="preserve"> di </w:t>
    </w: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NUMPAGES</w:instrText>
    </w:r>
    <w:r w:rsidR="0078715C">
      <w:rPr>
        <w:rFonts w:cs="Calibri"/>
        <w:color w:val="000000"/>
      </w:rPr>
      <w:fldChar w:fldCharType="separate"/>
    </w:r>
    <w:r w:rsidR="0078715C">
      <w:rPr>
        <w:rFonts w:cs="Calibri"/>
        <w:noProof/>
        <w:color w:val="000000"/>
      </w:rPr>
      <w:t>6</w:t>
    </w:r>
    <w:r>
      <w:rPr>
        <w:rFonts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5C" w:rsidRDefault="007871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FA" w:rsidRDefault="003278FA">
      <w:pPr>
        <w:spacing w:after="0" w:line="240" w:lineRule="auto"/>
      </w:pPr>
      <w:r>
        <w:separator/>
      </w:r>
    </w:p>
  </w:footnote>
  <w:footnote w:type="continuationSeparator" w:id="0">
    <w:p w:rsidR="003278FA" w:rsidRDefault="0032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5C" w:rsidRDefault="007871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5C" w:rsidRDefault="007871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5C" w:rsidRDefault="007871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5A9"/>
    <w:multiLevelType w:val="multilevel"/>
    <w:tmpl w:val="9EF21498"/>
    <w:lvl w:ilvl="0">
      <w:start w:val="1"/>
      <w:numFmt w:val="bullet"/>
      <w:lvlText w:val="●"/>
      <w:lvlJc w:val="left"/>
      <w:pPr>
        <w:ind w:left="720" w:hanging="360"/>
      </w:pPr>
      <w:rPr>
        <w:color w:val="333F4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56A7B"/>
    <w:multiLevelType w:val="multilevel"/>
    <w:tmpl w:val="9C723962"/>
    <w:lvl w:ilvl="0">
      <w:start w:val="1"/>
      <w:numFmt w:val="decimal"/>
      <w:lvlText w:val="%1."/>
      <w:lvlJc w:val="left"/>
      <w:pPr>
        <w:ind w:left="1060" w:hanging="7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C912401"/>
    <w:multiLevelType w:val="multilevel"/>
    <w:tmpl w:val="D38C350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D10F52"/>
    <w:multiLevelType w:val="multilevel"/>
    <w:tmpl w:val="B9BE27EE"/>
    <w:lvl w:ilvl="0">
      <w:start w:val="1"/>
      <w:numFmt w:val="bullet"/>
      <w:lvlText w:val="✔"/>
      <w:lvlJc w:val="left"/>
      <w:pPr>
        <w:ind w:left="972" w:hanging="97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623C53"/>
    <w:multiLevelType w:val="multilevel"/>
    <w:tmpl w:val="F77E45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A9"/>
    <w:rsid w:val="003278FA"/>
    <w:rsid w:val="0078715C"/>
    <w:rsid w:val="009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1BF94"/>
  <w15:docId w15:val="{D88917B7-9034-4287-8959-61789B8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17F"/>
    <w:rPr>
      <w:rFonts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5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7E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7EB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icanet.it/cert-l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rgystar.gov/productfinder/product/certified-display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r7kSq7Anz9EtahsQAseLFZE6A==">AMUW2mX3IRpsqyPh8PxTiSabsDV1bym9NEj/3crFgmclSHGd+NF0fkrGmRPdgQLJ0RQTAPOcjqhaPIzGK0Y+7YvY8wb+pSmA0IZR7+2G/VFqIpMhGLbzOzfagggqjb9V1r2XcPIV7B4TJC7t7bcXxlQYZvF4r/7lj+aoo5XFBf0ktubYjqFDEvxYiY+zGOnLFtHW3Hg7I85MoJT5t7JmomoDn7TkfOxlIA==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utente</cp:lastModifiedBy>
  <cp:revision>2</cp:revision>
  <dcterms:created xsi:type="dcterms:W3CDTF">2014-08-07T05:54:00Z</dcterms:created>
  <dcterms:modified xsi:type="dcterms:W3CDTF">2022-03-17T11:35:00Z</dcterms:modified>
</cp:coreProperties>
</file>